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0F7B" w:rsidRPr="00972034" w:rsidTr="00060F7B">
        <w:trPr>
          <w:tblCellSpacing w:w="0" w:type="dxa"/>
        </w:trPr>
        <w:tc>
          <w:tcPr>
            <w:tcW w:w="1072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60F7B" w:rsidRPr="00972034" w:rsidRDefault="00060F7B" w:rsidP="00972034">
            <w:pPr>
              <w:pStyle w:val="1"/>
              <w:jc w:val="both"/>
              <w:rPr>
                <w:rFonts w:ascii="Times New Roman" w:hAnsi="Times New Roman" w:cs="Times New Roman"/>
                <w:color w:val="6973A4"/>
              </w:rPr>
            </w:pPr>
            <w:r w:rsidRPr="00972034">
              <w:rPr>
                <w:rFonts w:ascii="Times New Roman" w:hAnsi="Times New Roman" w:cs="Times New Roman"/>
                <w:color w:val="6973A4"/>
              </w:rPr>
              <w:t>Формирование функциональной грамотности у младших школьников</w:t>
            </w:r>
          </w:p>
          <w:p w:rsidR="00060F7B" w:rsidRPr="00972034" w:rsidRDefault="00060F7B" w:rsidP="00972034">
            <w:pPr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</w:p>
          <w:p w:rsidR="00060F7B" w:rsidRPr="00972034" w:rsidRDefault="002022C7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    </w:t>
            </w:r>
            <w:r w:rsidR="00060F7B" w:rsidRPr="00972034">
              <w:rPr>
                <w:color w:val="424242"/>
                <w:sz w:val="28"/>
                <w:szCs w:val="28"/>
              </w:rPr>
              <w:t xml:space="preserve">Термин «функциональная грамотность» (от греч. </w:t>
            </w:r>
            <w:proofErr w:type="spellStart"/>
            <w:r w:rsidR="00060F7B" w:rsidRPr="00972034">
              <w:rPr>
                <w:color w:val="424242"/>
                <w:sz w:val="28"/>
                <w:szCs w:val="28"/>
              </w:rPr>
              <w:t>grammata</w:t>
            </w:r>
            <w:proofErr w:type="spellEnd"/>
            <w:r w:rsidR="00060F7B" w:rsidRPr="00972034">
              <w:rPr>
                <w:color w:val="424242"/>
                <w:sz w:val="28"/>
                <w:szCs w:val="28"/>
              </w:rPr>
              <w:t xml:space="preserve"> – чтение и письмо) был предложен и введен в научный и практический оборот ЮНЕСКО в 1957 году и предполагал совокупность умений читать и писать для использования в повседневной жизни и решения житейских проблем.</w:t>
            </w:r>
          </w:p>
          <w:p w:rsidR="00060F7B" w:rsidRPr="00972034" w:rsidRDefault="008104DB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    </w:t>
            </w:r>
            <w:r w:rsidR="00060F7B" w:rsidRPr="00972034">
              <w:rPr>
                <w:color w:val="424242"/>
                <w:sz w:val="28"/>
                <w:szCs w:val="28"/>
              </w:rPr>
              <w:t>Долгое время основное назначение функциональной грамотности ограничивалось идеей формирования элементарных знаний и умений, ценных в основном для человека, для его адаптации к окружающему миру. По мере усиления потребностей человека участвовать в экономической, политической, культурной сферах жизни общества функциональная грамотность гражданина становится ценной не только для человека, но и для общества.</w:t>
            </w:r>
          </w:p>
          <w:p w:rsidR="00060F7B" w:rsidRPr="00972034" w:rsidRDefault="008104DB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    </w:t>
            </w:r>
            <w:r w:rsidR="00060F7B" w:rsidRPr="00972034">
              <w:rPr>
                <w:color w:val="424242"/>
                <w:sz w:val="28"/>
                <w:szCs w:val="28"/>
              </w:rPr>
              <w:t>На основе требований ФГОС НОО и анализа результатов международных мониторинговых исследований качества школьного образования разработана обновленная характеристика функциональной грамотности младшего школьника.</w:t>
            </w:r>
          </w:p>
          <w:p w:rsidR="00060F7B" w:rsidRPr="00972034" w:rsidRDefault="00060F7B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>Выпускник начальной школы должен обладать:</w:t>
            </w:r>
          </w:p>
          <w:p w:rsidR="00060F7B" w:rsidRPr="00972034" w:rsidRDefault="00060F7B" w:rsidP="00972034">
            <w:pPr>
              <w:numPr>
                <w:ilvl w:val="0"/>
                <w:numId w:val="6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готовностью успешно взаимодействовать с изменяющимся окружающим миром;</w:t>
            </w:r>
          </w:p>
          <w:p w:rsidR="00060F7B" w:rsidRPr="00972034" w:rsidRDefault="00060F7B" w:rsidP="00972034">
            <w:pPr>
              <w:numPr>
                <w:ilvl w:val="0"/>
                <w:numId w:val="6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возможностью решать различные (в том числе нестандартные) учебные и жизненные задачи, обладать умениями строить алгоритмы основных видов деятельности;</w:t>
            </w:r>
          </w:p>
          <w:p w:rsidR="00060F7B" w:rsidRPr="00972034" w:rsidRDefault="00060F7B" w:rsidP="00972034">
            <w:pPr>
              <w:numPr>
                <w:ilvl w:val="0"/>
                <w:numId w:val="6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способностью строить социальные отношения в соответствии с нравственно-этическими ценностями социума, правилами партнерства и сотрудничества;</w:t>
            </w:r>
          </w:p>
          <w:p w:rsidR="00060F7B" w:rsidRPr="00972034" w:rsidRDefault="00060F7B" w:rsidP="00972034">
            <w:pPr>
              <w:numPr>
                <w:ilvl w:val="0"/>
                <w:numId w:val="6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развитию.</w:t>
            </w:r>
          </w:p>
          <w:p w:rsidR="00060F7B" w:rsidRPr="00972034" w:rsidRDefault="00060F7B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Таким образом, в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Содержание функциональной грамотности младшего школьника, безусловно, составляют </w:t>
            </w:r>
            <w:proofErr w:type="spellStart"/>
            <w:r w:rsidRPr="00972034">
              <w:rPr>
                <w:color w:val="424242"/>
                <w:sz w:val="28"/>
                <w:szCs w:val="28"/>
              </w:rPr>
              <w:t>метапредметные</w:t>
            </w:r>
            <w:proofErr w:type="spellEnd"/>
            <w:r w:rsidRPr="00972034">
              <w:rPr>
                <w:color w:val="424242"/>
                <w:sz w:val="28"/>
                <w:szCs w:val="28"/>
              </w:rPr>
              <w:t xml:space="preserve"> универсальные учебные действия – познавательные, коммуникативные, регулятивные.</w:t>
            </w:r>
          </w:p>
          <w:p w:rsidR="00060F7B" w:rsidRPr="00972034" w:rsidRDefault="002022C7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lastRenderedPageBreak/>
              <w:t xml:space="preserve">   </w:t>
            </w:r>
            <w:r w:rsidR="00060F7B" w:rsidRPr="00972034">
              <w:rPr>
                <w:color w:val="424242"/>
                <w:sz w:val="28"/>
                <w:szCs w:val="28"/>
              </w:rPr>
              <w:t>Функциональная грамотность рассматривается как совокупность двух групп компонентов: интегративных и предметных. Предметные (</w:t>
            </w:r>
            <w:proofErr w:type="gramStart"/>
            <w:r w:rsidR="00060F7B" w:rsidRPr="00972034">
              <w:rPr>
                <w:color w:val="424242"/>
                <w:sz w:val="28"/>
                <w:szCs w:val="28"/>
              </w:rPr>
              <w:t>языковая</w:t>
            </w:r>
            <w:proofErr w:type="gramEnd"/>
            <w:r w:rsidR="00060F7B" w:rsidRPr="00972034">
              <w:rPr>
                <w:color w:val="424242"/>
                <w:sz w:val="28"/>
                <w:szCs w:val="28"/>
              </w:rPr>
              <w:t xml:space="preserve">, литературная, математическая, естественно-научная) соответствуют предметам учебного плана начальной школы. К </w:t>
            </w:r>
            <w:proofErr w:type="gramStart"/>
            <w:r w:rsidR="00060F7B" w:rsidRPr="00972034">
              <w:rPr>
                <w:color w:val="424242"/>
                <w:sz w:val="28"/>
                <w:szCs w:val="28"/>
              </w:rPr>
              <w:t>интегративным</w:t>
            </w:r>
            <w:proofErr w:type="gramEnd"/>
            <w:r w:rsidR="00060F7B" w:rsidRPr="00972034">
              <w:rPr>
                <w:color w:val="424242"/>
                <w:sz w:val="28"/>
                <w:szCs w:val="28"/>
              </w:rPr>
              <w:t xml:space="preserve"> относятся коммуникативная, читательская, информационная, социальная грамотность, формирующиеся на любом предметном содержании.</w:t>
            </w:r>
          </w:p>
          <w:p w:rsidR="00060F7B" w:rsidRPr="00972034" w:rsidRDefault="002022C7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Существуют </w:t>
            </w:r>
            <w:r w:rsidR="00060F7B" w:rsidRPr="00972034">
              <w:rPr>
                <w:color w:val="424242"/>
                <w:sz w:val="28"/>
                <w:szCs w:val="28"/>
              </w:rPr>
              <w:t xml:space="preserve">проблемы формирования функциональной грамотности у младших </w:t>
            </w:r>
            <w:r w:rsidRPr="00972034">
              <w:rPr>
                <w:color w:val="424242"/>
                <w:sz w:val="28"/>
                <w:szCs w:val="28"/>
              </w:rPr>
              <w:t xml:space="preserve">школьников.  </w:t>
            </w:r>
            <w:r w:rsidR="00060F7B" w:rsidRPr="00972034">
              <w:rPr>
                <w:color w:val="424242"/>
                <w:sz w:val="28"/>
                <w:szCs w:val="28"/>
              </w:rPr>
              <w:t>Анализ результатов ВПР в 4</w:t>
            </w:r>
            <w:r w:rsidRPr="00972034">
              <w:rPr>
                <w:color w:val="424242"/>
                <w:sz w:val="28"/>
                <w:szCs w:val="28"/>
              </w:rPr>
              <w:t xml:space="preserve"> классе </w:t>
            </w:r>
            <w:r w:rsidR="00060F7B" w:rsidRPr="00972034">
              <w:rPr>
                <w:color w:val="424242"/>
                <w:sz w:val="28"/>
                <w:szCs w:val="28"/>
              </w:rPr>
              <w:t>выявил основные недостатки в достижении младших школьников:</w:t>
            </w:r>
          </w:p>
          <w:p w:rsidR="00060F7B" w:rsidRPr="00972034" w:rsidRDefault="00060F7B" w:rsidP="00972034">
            <w:pPr>
              <w:numPr>
                <w:ilvl w:val="0"/>
                <w:numId w:val="7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недостаточно владеют смысловым чтением</w:t>
            </w:r>
          </w:p>
          <w:p w:rsidR="00060F7B" w:rsidRPr="00972034" w:rsidRDefault="00060F7B" w:rsidP="00972034">
            <w:pPr>
              <w:numPr>
                <w:ilvl w:val="0"/>
                <w:numId w:val="7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не справляются с задачами на интерпретацию информации</w:t>
            </w:r>
          </w:p>
          <w:p w:rsidR="00060F7B" w:rsidRPr="00972034" w:rsidRDefault="00060F7B" w:rsidP="00972034">
            <w:pPr>
              <w:numPr>
                <w:ilvl w:val="0"/>
                <w:numId w:val="7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затрудняются в решении задач, требующих анализа и обобщения</w:t>
            </w:r>
          </w:p>
          <w:p w:rsidR="00060F7B" w:rsidRPr="00972034" w:rsidRDefault="00060F7B" w:rsidP="00972034">
            <w:pPr>
              <w:numPr>
                <w:ilvl w:val="0"/>
                <w:numId w:val="7"/>
              </w:numPr>
              <w:spacing w:before="75" w:after="75" w:line="240" w:lineRule="auto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97203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не умеют высказывать предположения, строить доказательства.</w:t>
            </w:r>
          </w:p>
          <w:p w:rsidR="00972034" w:rsidRPr="00972034" w:rsidRDefault="00060F7B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>Главная причина такого положения кроется в том, что задания на уроке по-прежнему в основном носят репродуктивный характер. Недостаточное внимание педагоги уделяют построению поисково-исследовательской деятельности учащихся на уроке, формированию у них навыков самостоятельной организации своей деятельности.</w:t>
            </w:r>
          </w:p>
          <w:p w:rsidR="00972034" w:rsidRPr="00972034" w:rsidRDefault="00972034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     </w:t>
            </w:r>
            <w:r w:rsidRPr="00972034">
              <w:rPr>
                <w:sz w:val="28"/>
                <w:szCs w:val="28"/>
              </w:rPr>
              <w:t xml:space="preserve">ФОРМИРОВАНИЕ ФУНКЦИОНАЛЬНОЙ ГРАМОТНОСТИ МЛАДШИХ ШКОЛЬНИКОВ В СООТВЕТСТВИИ С ФГОС НАЧАЛЬНОГО ОБЩЕГО ОБРАЗОВАНИЯ </w:t>
            </w:r>
          </w:p>
          <w:p w:rsidR="00972034" w:rsidRPr="00972034" w:rsidRDefault="00972034" w:rsidP="00972034">
            <w:pPr>
              <w:pStyle w:val="a3"/>
              <w:jc w:val="both"/>
              <w:rPr>
                <w:sz w:val="28"/>
                <w:szCs w:val="28"/>
              </w:rPr>
            </w:pPr>
            <w:r w:rsidRPr="00972034">
              <w:rPr>
                <w:sz w:val="28"/>
                <w:szCs w:val="28"/>
              </w:rPr>
              <w:t>Тема 1.1. Функциональная грамотность младших школьников: понятие, виды и значение в развит</w:t>
            </w:r>
            <w:r w:rsidRPr="00972034">
              <w:rPr>
                <w:sz w:val="28"/>
                <w:szCs w:val="28"/>
              </w:rPr>
              <w:t xml:space="preserve">ии младших школьников </w:t>
            </w:r>
            <w:r w:rsidRPr="00972034">
              <w:rPr>
                <w:sz w:val="28"/>
                <w:szCs w:val="28"/>
              </w:rPr>
              <w:t xml:space="preserve">Конструирование дидактического сопровождения процесса формирования функциональной грамотности современного младшего школьника. Характеристика интегративных и предметных компонентов функциональной грамотности. Методика формирования предметных компонентов в процессе изучения предметов учебного плана. Особенности языковой, литературной, математической, </w:t>
            </w:r>
            <w:proofErr w:type="gramStart"/>
            <w:r w:rsidRPr="00972034">
              <w:rPr>
                <w:sz w:val="28"/>
                <w:szCs w:val="28"/>
              </w:rPr>
              <w:t>естественно-научной</w:t>
            </w:r>
            <w:proofErr w:type="gramEnd"/>
            <w:r w:rsidRPr="00972034">
              <w:rPr>
                <w:sz w:val="28"/>
                <w:szCs w:val="28"/>
              </w:rPr>
              <w:t xml:space="preserve"> и общекультурной грамотности младшего школьника. </w:t>
            </w:r>
          </w:p>
          <w:p w:rsidR="00972034" w:rsidRPr="00972034" w:rsidRDefault="00972034" w:rsidP="00972034">
            <w:pPr>
              <w:pStyle w:val="a3"/>
              <w:jc w:val="both"/>
              <w:rPr>
                <w:sz w:val="28"/>
                <w:szCs w:val="28"/>
              </w:rPr>
            </w:pPr>
            <w:r w:rsidRPr="00972034">
              <w:rPr>
                <w:sz w:val="28"/>
                <w:szCs w:val="28"/>
              </w:rPr>
              <w:t>Тема 1.2. Информационная грамотность младшего школьника: содержание и особенности организ</w:t>
            </w:r>
            <w:r w:rsidRPr="00972034">
              <w:rPr>
                <w:sz w:val="28"/>
                <w:szCs w:val="28"/>
              </w:rPr>
              <w:t xml:space="preserve">ации процесса обучения </w:t>
            </w:r>
            <w:r w:rsidRPr="00972034">
              <w:rPr>
                <w:sz w:val="28"/>
                <w:szCs w:val="28"/>
              </w:rPr>
              <w:t xml:space="preserve"> Информационная грамотность как интегративный компонент функциональной грамотности младшего школьника. </w:t>
            </w:r>
            <w:proofErr w:type="gramStart"/>
            <w:r w:rsidRPr="00972034">
              <w:rPr>
                <w:sz w:val="28"/>
                <w:szCs w:val="28"/>
              </w:rPr>
              <w:t xml:space="preserve">Методы и приемы, направленные на осознание младшим школьником необходимости в расширении своего информационного поля; на развитие способности ориентироваться в информационном </w:t>
            </w:r>
            <w:proofErr w:type="spellStart"/>
            <w:r w:rsidRPr="00972034">
              <w:rPr>
                <w:sz w:val="28"/>
                <w:szCs w:val="28"/>
              </w:rPr>
              <w:t>поттоке</w:t>
            </w:r>
            <w:proofErr w:type="spellEnd"/>
            <w:r w:rsidRPr="00972034">
              <w:rPr>
                <w:sz w:val="28"/>
                <w:szCs w:val="28"/>
              </w:rPr>
              <w:t xml:space="preserve">, правильно оценивать надежность, достоверность, целесообразность информации; на развитие умений, обеспечивающих эффективный поиск, </w:t>
            </w:r>
            <w:r w:rsidRPr="00972034">
              <w:rPr>
                <w:sz w:val="28"/>
                <w:szCs w:val="28"/>
              </w:rPr>
              <w:lastRenderedPageBreak/>
              <w:t>отбор, интерпретацию и применение информации в соответствии с учебной задачей или житейской проблемой.</w:t>
            </w:r>
            <w:proofErr w:type="gramEnd"/>
            <w:r w:rsidRPr="00972034">
              <w:rPr>
                <w:sz w:val="28"/>
                <w:szCs w:val="28"/>
              </w:rPr>
              <w:t xml:space="preserve"> Особенности проектирования образовательного процесса в соответствии с задачами формирования информационной грамотности. Контроль учителя за формированием информационной грамотности младших школьников. Анализ урока с позиций формирования информационной грамотности младших школьников. </w:t>
            </w:r>
          </w:p>
          <w:p w:rsidR="00972034" w:rsidRPr="00972034" w:rsidRDefault="00972034" w:rsidP="00972034">
            <w:pPr>
              <w:pStyle w:val="a3"/>
              <w:jc w:val="both"/>
              <w:rPr>
                <w:sz w:val="28"/>
                <w:szCs w:val="28"/>
              </w:rPr>
            </w:pPr>
            <w:r w:rsidRPr="00972034">
              <w:rPr>
                <w:sz w:val="28"/>
                <w:szCs w:val="28"/>
              </w:rPr>
              <w:t>Тема 1.3. Читательская грамотность младшего школьника: содержание и особенности организ</w:t>
            </w:r>
            <w:r w:rsidRPr="00972034">
              <w:rPr>
                <w:sz w:val="28"/>
                <w:szCs w:val="28"/>
              </w:rPr>
              <w:t>ации процесса обучения</w:t>
            </w:r>
            <w:proofErr w:type="gramStart"/>
            <w:r w:rsidRPr="00972034">
              <w:rPr>
                <w:sz w:val="28"/>
                <w:szCs w:val="28"/>
              </w:rPr>
              <w:t xml:space="preserve"> .</w:t>
            </w:r>
            <w:proofErr w:type="gramEnd"/>
            <w:r w:rsidRPr="00972034">
              <w:rPr>
                <w:sz w:val="28"/>
                <w:szCs w:val="28"/>
              </w:rPr>
              <w:t xml:space="preserve"> Читательская грамотность как совокупность умений и навыков, отражающих: потребность в читательской деятельности с целью успешной социализации, дальнейшего образования, саморазвития; готовность к смысловому чтению – восприятию письменных текстов, анализу, оценке, интерпретации и обобщению представленной в них информации; способность извлекать необходимую информацию для ее преобразования в соответствии с учебной задачей; ориентироваться с помощью различной текстовой информации в жизненных ситуациях, т. е. понятийному, смысловому чтению. </w:t>
            </w:r>
          </w:p>
          <w:p w:rsidR="00972034" w:rsidRPr="00972034" w:rsidRDefault="00972034" w:rsidP="00972034">
            <w:pPr>
              <w:pStyle w:val="a3"/>
              <w:jc w:val="both"/>
              <w:rPr>
                <w:sz w:val="28"/>
                <w:szCs w:val="28"/>
              </w:rPr>
            </w:pPr>
            <w:r w:rsidRPr="00972034">
              <w:rPr>
                <w:sz w:val="28"/>
                <w:szCs w:val="28"/>
              </w:rPr>
              <w:t>Тема 1.4. Социальная и коммуникативная грамотность младшего школьника</w:t>
            </w:r>
            <w:r w:rsidRPr="00972034">
              <w:rPr>
                <w:sz w:val="28"/>
                <w:szCs w:val="28"/>
              </w:rPr>
              <w:t xml:space="preserve">. </w:t>
            </w:r>
            <w:r w:rsidRPr="00972034">
              <w:rPr>
                <w:sz w:val="28"/>
                <w:szCs w:val="28"/>
              </w:rPr>
              <w:t>Социальная грамотность как готовность успешно социализироваться в изменяющемся обществе, приспосабливаться к различным социальным ситуациям, в том числе экстремальным; способность предвидеть последствия своего поведения, оценивать возможность корректировать ситуацию, элементарно проектировать способы реализации в будущем своих желаний, интересов и свое развитие. Социальная грамотность как совокупность способностей, умений и навыков, обеспечивающих становление и развитие этой готовности. Методы и приемы развития качеств личности, обеспечивающих ответственность за свою деятельность и поведение, целеустремленность, дисциплинированность, элементы рефлексивных качеств.</w:t>
            </w:r>
          </w:p>
          <w:p w:rsidR="00972034" w:rsidRPr="00972034" w:rsidRDefault="00972034" w:rsidP="00972034">
            <w:pPr>
              <w:pStyle w:val="a3"/>
              <w:jc w:val="both"/>
              <w:rPr>
                <w:sz w:val="28"/>
                <w:szCs w:val="28"/>
              </w:rPr>
            </w:pPr>
            <w:r w:rsidRPr="00972034">
              <w:rPr>
                <w:sz w:val="28"/>
                <w:szCs w:val="28"/>
              </w:rPr>
              <w:t xml:space="preserve"> Тема 1.5. Языковая и литературная грамотность младшего школьника: содержание и особенности орган</w:t>
            </w:r>
            <w:r w:rsidRPr="00972034">
              <w:rPr>
                <w:sz w:val="28"/>
                <w:szCs w:val="28"/>
              </w:rPr>
              <w:t xml:space="preserve">изации процесса обучения. </w:t>
            </w:r>
            <w:r w:rsidRPr="00972034">
              <w:rPr>
                <w:sz w:val="28"/>
                <w:szCs w:val="28"/>
              </w:rPr>
              <w:t xml:space="preserve">Языковая функциональная грамотность как владение нормативным, эстетическим и этическим аспектами культуры речи. Методика построения урока русского языка, направленного на формирование языковой функциональной грамотности. Система упражнений для формирования языковой функциональной грамотности младшего школьника. Методы и приемы, направленные на развитие чувства языка и стремления совершенствовать собственную языковую культуру. Литературная функциональная грамотность как совокупность мотивации к самостоятельному чтению; осознание себя как читателя, понимание роли чтения в успешности обучения и повседневной жизни. Овладение процессом смыслового чтения текстов разного типа, прежде всего художественного текста. Умение ориентироваться в особенностях разных жанров фольклора и </w:t>
            </w:r>
            <w:r w:rsidRPr="00972034">
              <w:rPr>
                <w:sz w:val="28"/>
                <w:szCs w:val="28"/>
              </w:rPr>
              <w:lastRenderedPageBreak/>
              <w:t xml:space="preserve">художественной литературы. Готовность осуществлять творческую деятельность на основе прочитанного текста. </w:t>
            </w:r>
          </w:p>
          <w:p w:rsidR="00972034" w:rsidRPr="00972034" w:rsidRDefault="00972034" w:rsidP="00972034">
            <w:pPr>
              <w:pStyle w:val="a3"/>
              <w:jc w:val="both"/>
              <w:rPr>
                <w:sz w:val="28"/>
                <w:szCs w:val="28"/>
              </w:rPr>
            </w:pPr>
            <w:r w:rsidRPr="00972034">
              <w:rPr>
                <w:sz w:val="28"/>
                <w:szCs w:val="28"/>
              </w:rPr>
              <w:t>Тема 1.6. Математическая и естественнонаучная грамотность младшего школьника: содержание и особенности организ</w:t>
            </w:r>
            <w:r w:rsidRPr="00972034">
              <w:rPr>
                <w:sz w:val="28"/>
                <w:szCs w:val="28"/>
              </w:rPr>
              <w:t xml:space="preserve">ации процесса обучения. </w:t>
            </w:r>
            <w:r w:rsidRPr="00972034">
              <w:rPr>
                <w:sz w:val="28"/>
                <w:szCs w:val="28"/>
              </w:rPr>
              <w:t xml:space="preserve"> Математическая грамотность как компонент предметной функциональной грамотности включает следующие характеристики: понимание учеником необходимости математических знаний для решения учебных и жизненных задач; оценка разнообразных учебных ситуаций (контекстов), которые требуют применения математических знаний, умений;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методы; владение математическими фактами (принадлежность, истинность, </w:t>
            </w:r>
            <w:proofErr w:type="spellStart"/>
            <w:r w:rsidRPr="00972034">
              <w:rPr>
                <w:sz w:val="28"/>
                <w:szCs w:val="28"/>
              </w:rPr>
              <w:t>контрпример</w:t>
            </w:r>
            <w:proofErr w:type="spellEnd"/>
            <w:r w:rsidRPr="00972034">
              <w:rPr>
                <w:sz w:val="28"/>
                <w:szCs w:val="28"/>
              </w:rPr>
              <w:t xml:space="preserve">), использование математического языка для решения учебных задач, построения математических суждений. Методика построения урока математики, направленного на формирование математической функциональной грамотности. Система упражнений для формирования математической функциональной грамотности младшего школьника. </w:t>
            </w:r>
            <w:proofErr w:type="gramStart"/>
            <w:r w:rsidRPr="00972034">
              <w:rPr>
                <w:sz w:val="28"/>
                <w:szCs w:val="28"/>
              </w:rPr>
              <w:t>Естественно-научная</w:t>
            </w:r>
            <w:proofErr w:type="gramEnd"/>
            <w:r w:rsidRPr="00972034">
              <w:rPr>
                <w:sz w:val="28"/>
                <w:szCs w:val="28"/>
              </w:rPr>
              <w:t xml:space="preserve"> грамотность младшего школьника как готовность осваивать и использовать знания о природе; осознание ценности и зн</w:t>
            </w:r>
            <w:r w:rsidRPr="00972034">
              <w:rPr>
                <w:sz w:val="28"/>
                <w:szCs w:val="28"/>
              </w:rPr>
              <w:t>ачения научных знаний о природе.</w:t>
            </w:r>
          </w:p>
          <w:p w:rsidR="00972034" w:rsidRPr="00972034" w:rsidRDefault="00972034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972034">
              <w:rPr>
                <w:sz w:val="28"/>
                <w:szCs w:val="28"/>
              </w:rPr>
              <w:t>Функциональная грамотность младшего школьника как приоритетный результат обучения в школе - базовое образование личности, которое отражает готовность человека к успешному взаимодействию с окружающим миром и с самим собой, способность решать различные учебные и жизненные задачи в процессе разнообразной деятельности; умения строить социальные отношения</w:t>
            </w:r>
            <w:r w:rsidRPr="00972034">
              <w:rPr>
                <w:sz w:val="28"/>
                <w:szCs w:val="28"/>
              </w:rPr>
              <w:t>.</w:t>
            </w:r>
          </w:p>
          <w:p w:rsidR="002022C7" w:rsidRPr="00972034" w:rsidRDefault="002022C7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 xml:space="preserve">    </w:t>
            </w:r>
          </w:p>
          <w:p w:rsidR="00060F7B" w:rsidRPr="00972034" w:rsidRDefault="00060F7B" w:rsidP="00972034">
            <w:pPr>
              <w:pStyle w:val="a3"/>
              <w:jc w:val="both"/>
              <w:rPr>
                <w:color w:val="424242"/>
                <w:sz w:val="28"/>
                <w:szCs w:val="28"/>
              </w:rPr>
            </w:pPr>
            <w:r w:rsidRPr="00972034">
              <w:rPr>
                <w:color w:val="424242"/>
                <w:sz w:val="28"/>
                <w:szCs w:val="28"/>
              </w:rPr>
              <w:t>.</w:t>
            </w:r>
          </w:p>
        </w:tc>
      </w:tr>
      <w:tr w:rsidR="00060F7B" w:rsidRPr="00972034" w:rsidTr="00060F7B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0F7B" w:rsidRPr="00972034" w:rsidRDefault="00060F7B" w:rsidP="00972034">
            <w:pPr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</w:p>
        </w:tc>
      </w:tr>
    </w:tbl>
    <w:p w:rsidR="00BA19B3" w:rsidRPr="00972034" w:rsidRDefault="00BA19B3" w:rsidP="00972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A1B33" w:rsidRPr="00972034" w:rsidRDefault="003A1B33" w:rsidP="009720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B33" w:rsidRPr="009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CA0"/>
    <w:multiLevelType w:val="multilevel"/>
    <w:tmpl w:val="5DCA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21DB"/>
    <w:multiLevelType w:val="multilevel"/>
    <w:tmpl w:val="EA4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809A9"/>
    <w:multiLevelType w:val="multilevel"/>
    <w:tmpl w:val="9CB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E3B90"/>
    <w:multiLevelType w:val="multilevel"/>
    <w:tmpl w:val="9D0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A0BB8"/>
    <w:multiLevelType w:val="multilevel"/>
    <w:tmpl w:val="842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727ED"/>
    <w:multiLevelType w:val="multilevel"/>
    <w:tmpl w:val="F29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60975"/>
    <w:multiLevelType w:val="multilevel"/>
    <w:tmpl w:val="D7D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0"/>
    <w:rsid w:val="000568A4"/>
    <w:rsid w:val="00060F7B"/>
    <w:rsid w:val="000C50E9"/>
    <w:rsid w:val="002022C7"/>
    <w:rsid w:val="00294FA5"/>
    <w:rsid w:val="002B075F"/>
    <w:rsid w:val="003A1B33"/>
    <w:rsid w:val="00680048"/>
    <w:rsid w:val="006E2CA0"/>
    <w:rsid w:val="008104DB"/>
    <w:rsid w:val="00972034"/>
    <w:rsid w:val="00BA19B3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F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2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E2C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F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2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E2C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3-10</dc:creator>
  <cp:keywords/>
  <dc:description/>
  <cp:lastModifiedBy>3-10</cp:lastModifiedBy>
  <cp:revision>22</cp:revision>
  <dcterms:created xsi:type="dcterms:W3CDTF">2021-03-19T01:43:00Z</dcterms:created>
  <dcterms:modified xsi:type="dcterms:W3CDTF">2021-03-29T04:22:00Z</dcterms:modified>
</cp:coreProperties>
</file>