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9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36"/>
        <w:gridCol w:w="4200"/>
        <w:gridCol w:w="3260"/>
        <w:gridCol w:w="1559"/>
        <w:gridCol w:w="1418"/>
        <w:gridCol w:w="3110"/>
      </w:tblGrid>
      <w:tr>
        <w:trPr/>
        <w:tc>
          <w:tcPr>
            <w:gridSpan w:val="2"/>
            <w:tcW w:w="174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Аспект</w:t>
            </w:r>
            <w:r/>
          </w:p>
        </w:tc>
        <w:tc>
          <w:tcPr>
            <w:tcW w:w="4200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Начальное образование 1-4</w:t>
            </w:r>
            <w:r/>
          </w:p>
        </w:tc>
        <w:tc>
          <w:tcPr>
            <w:gridSpan w:val="2"/>
            <w:tcW w:w="481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образование 5-9</w:t>
            </w:r>
            <w:r/>
          </w:p>
        </w:tc>
        <w:tc>
          <w:tcPr>
            <w:gridSpan w:val="2"/>
            <w:tcW w:w="452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Среднее образование 10-11</w:t>
            </w:r>
            <w:r/>
          </w:p>
        </w:tc>
      </w:tr>
      <w:tr>
        <w:trPr>
          <w:trHeight w:val="1187"/>
        </w:trPr>
        <w:tc>
          <w:tcPr>
            <w:gridSpan w:val="2"/>
            <w:tcW w:w="174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Общие универсальные умения (способности)</w:t>
            </w:r>
            <w:r/>
          </w:p>
        </w:tc>
        <w:tc>
          <w:tcPr>
            <w:gridSpan w:val="5"/>
            <w:tcW w:w="13547" w:type="dxa"/>
            <w:textDirection w:val="lrTb"/>
            <w:noWrap w:val="false"/>
          </w:tcPr>
          <w:p>
            <w:pPr>
              <w:pStyle w:val="498"/>
              <w:numPr>
                <w:ilvl w:val="0"/>
                <w:numId w:val="2"/>
              </w:numPr>
              <w:ind w:left="1118" w:hanging="283"/>
            </w:pPr>
            <w:r>
              <w:t xml:space="preserve">Анализировать (</w:t>
            </w:r>
            <w:r>
              <w:rPr>
                <w:i/>
                <w:iCs/>
              </w:rPr>
              <w:t xml:space="preserve">познавать, изучая составные части целого</w:t>
            </w:r>
            <w:r>
              <w:t xml:space="preserve">)</w:t>
            </w:r>
            <w:r/>
          </w:p>
          <w:p>
            <w:pPr>
              <w:pStyle w:val="498"/>
              <w:numPr>
                <w:ilvl w:val="0"/>
                <w:numId w:val="2"/>
              </w:numPr>
              <w:ind w:left="1118" w:hanging="283"/>
            </w:pPr>
            <w:r>
              <w:t xml:space="preserve">Интерпретировать (</w:t>
            </w:r>
            <w:r>
              <w:rPr>
                <w:i/>
                <w:iCs/>
              </w:rPr>
              <w:t xml:space="preserve">объяснять, истолковывать, трактовать смысл текста, образа, ситуации</w:t>
            </w:r>
            <w:r>
              <w:t xml:space="preserve">)</w:t>
            </w:r>
            <w:r/>
          </w:p>
          <w:p>
            <w:pPr>
              <w:pStyle w:val="498"/>
              <w:numPr>
                <w:ilvl w:val="0"/>
                <w:numId w:val="2"/>
              </w:numPr>
              <w:ind w:left="1118" w:hanging="283"/>
            </w:pPr>
            <w:r>
              <w:t xml:space="preserve">Целеполагание (</w:t>
            </w:r>
            <w:r>
              <w:rPr>
                <w:i/>
                <w:iCs/>
              </w:rPr>
              <w:t xml:space="preserve">сопоставлять внешнее требование, потребности, условия и способ </w:t>
            </w:r>
            <w:r>
              <w:rPr>
                <w:i/>
                <w:iCs/>
              </w:rPr>
              <w:t xml:space="preserve">действования</w:t>
            </w:r>
            <w:r>
              <w:t xml:space="preserve">)</w:t>
            </w:r>
            <w:r/>
          </w:p>
        </w:tc>
      </w:tr>
      <w:tr>
        <w:trPr>
          <w:trHeight w:val="1167"/>
        </w:trPr>
        <w:tc>
          <w:tcPr>
            <w:gridSpan w:val="2"/>
            <w:tcW w:w="174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Качества личности</w:t>
            </w:r>
            <w:r/>
          </w:p>
        </w:tc>
        <w:tc>
          <w:tcPr>
            <w:gridSpan w:val="5"/>
            <w:tcW w:w="13547" w:type="dxa"/>
            <w:textDirection w:val="lrTb"/>
            <w:noWrap w:val="false"/>
          </w:tcPr>
          <w:p>
            <w:pPr>
              <w:pStyle w:val="498"/>
              <w:numPr>
                <w:ilvl w:val="0"/>
                <w:numId w:val="3"/>
              </w:numPr>
              <w:ind w:left="1118" w:hanging="283"/>
            </w:pPr>
            <w:r>
              <w:t xml:space="preserve">Воля </w:t>
            </w:r>
            <w:r>
              <w:rPr>
                <w:i/>
                <w:iCs/>
              </w:rPr>
              <w:t xml:space="preserve">(сознательное стремление к осуществлению цели</w:t>
            </w:r>
            <w:r>
              <w:t xml:space="preserve">)</w:t>
            </w:r>
            <w:r/>
          </w:p>
          <w:p>
            <w:pPr>
              <w:pStyle w:val="498"/>
              <w:numPr>
                <w:ilvl w:val="0"/>
                <w:numId w:val="3"/>
              </w:numPr>
              <w:ind w:left="1118" w:hanging="283"/>
            </w:pPr>
            <w:r>
              <w:t xml:space="preserve">Ответственность (</w:t>
            </w:r>
            <w:r>
              <w:rPr>
                <w:i/>
                <w:iCs/>
              </w:rPr>
              <w:t xml:space="preserve">обязанность отвечать за поступки и действия, а также за их последствия</w:t>
            </w:r>
            <w:r>
              <w:t xml:space="preserve">)</w:t>
            </w:r>
            <w:r/>
          </w:p>
          <w:p>
            <w:pPr>
              <w:pStyle w:val="498"/>
              <w:numPr>
                <w:ilvl w:val="0"/>
                <w:numId w:val="3"/>
              </w:numPr>
              <w:ind w:left="1118" w:hanging="283"/>
            </w:pPr>
            <w:r>
              <w:t xml:space="preserve">Доброжелательность (</w:t>
            </w:r>
            <w:r>
              <w:rPr>
                <w:i/>
                <w:iCs/>
              </w:rPr>
              <w:t xml:space="preserve">позитивное, благожелательное отношение к другому, проявление участия, расположение</w:t>
            </w:r>
            <w:r>
              <w:t xml:space="preserve">)</w:t>
            </w:r>
            <w:r/>
          </w:p>
        </w:tc>
      </w:tr>
      <w:tr>
        <w:trPr>
          <w:trHeight w:val="1113"/>
        </w:trPr>
        <w:tc>
          <w:tcPr>
            <w:gridSpan w:val="2"/>
            <w:tcW w:w="174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Процедуры и критерии оценивания</w:t>
            </w:r>
            <w:r/>
          </w:p>
        </w:tc>
        <w:tc>
          <w:tcPr>
            <w:tcW w:w="4200" w:type="dxa"/>
            <w:textDirection w:val="lrTb"/>
            <w:noWrap w:val="false"/>
          </w:tcPr>
          <w:p>
            <w:r>
              <w:t xml:space="preserve">- наблюдение (мониторинг)</w:t>
            </w:r>
            <w:r/>
            <w:r/>
          </w:p>
          <w:p>
            <w:r>
              <w:t xml:space="preserve">-учет индивидуальных достижений через диагностику УУД</w:t>
            </w:r>
            <w:r/>
            <w:r/>
          </w:p>
          <w:p>
            <w:r>
              <w:t xml:space="preserve">- социологическое тестирование</w:t>
            </w:r>
            <w:r/>
            <w:r/>
          </w:p>
          <w:p>
            <w:r>
              <w:t xml:space="preserve">- собеседование</w:t>
            </w:r>
            <w:r/>
            <w:r/>
          </w:p>
        </w:tc>
        <w:tc>
          <w:tcPr>
            <w:gridSpan w:val="2"/>
            <w:tcW w:w="4819" w:type="dxa"/>
            <w:textDirection w:val="lrTb"/>
            <w:noWrap w:val="false"/>
          </w:tcPr>
          <w:p>
            <w:r>
              <w:t xml:space="preserve">ВПР, КДР, </w:t>
            </w:r>
            <w:r>
              <w:t xml:space="preserve">устное собеседование, </w:t>
            </w:r>
            <w:r>
              <w:t xml:space="preserve">контрольные и практические работы на </w:t>
            </w:r>
            <w:r>
              <w:t xml:space="preserve">метапредметной</w:t>
            </w:r>
            <w:r>
              <w:t xml:space="preserve"> основе, социометрия, ОГЭ, карта наблюдений</w:t>
            </w:r>
            <w:r/>
            <w:r/>
          </w:p>
        </w:tc>
        <w:tc>
          <w:tcPr>
            <w:gridSpan w:val="2"/>
            <w:tcW w:w="4528" w:type="dxa"/>
            <w:textDirection w:val="lrTb"/>
            <w:noWrap w:val="false"/>
          </w:tcPr>
          <w:p>
            <w:r>
              <w:t xml:space="preserve">ККР, ВПР, ЕГЭ, итоговое сочинение, портфолио образовательных достижений, карта наблюдений</w:t>
            </w:r>
            <w:r/>
            <w:r/>
          </w:p>
        </w:tc>
      </w:tr>
      <w:tr>
        <w:trPr>
          <w:trHeight w:val="1124"/>
        </w:trPr>
        <w:tc>
          <w:tcPr>
            <w:gridSpan w:val="2"/>
            <w:tcW w:w="174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Применяемые формы организации и способы работы</w:t>
            </w:r>
            <w:r/>
          </w:p>
        </w:tc>
        <w:tc>
          <w:tcPr>
            <w:tcW w:w="4200" w:type="dxa"/>
            <w:textDirection w:val="lrTb"/>
            <w:noWrap w:val="false"/>
          </w:tcPr>
          <w:p>
            <w:r>
              <w:t xml:space="preserve">-проектная деятельность, парная и групповая работа</w:t>
            </w:r>
            <w:r/>
            <w:r/>
          </w:p>
          <w:p>
            <w:pPr>
              <w:rPr>
                <w:highlight w:val="none"/>
              </w:rPr>
            </w:pPr>
            <w:r>
              <w:t xml:space="preserve">- </w:t>
            </w:r>
            <w:r>
              <w:t xml:space="preserve">Внеурочная деятельность </w:t>
            </w:r>
            <w:r>
              <w:t xml:space="preserve">(КТД)</w:t>
            </w:r>
            <w:r/>
            <w:r/>
          </w:p>
          <w:p>
            <w:pPr>
              <w:ind w:left="0" w:firstLine="0"/>
            </w:pPr>
            <w:r>
              <w:rPr>
                <w:highlight w:val="none"/>
              </w:rPr>
              <w:t xml:space="preserve">-работа с текстами разных жанров</w:t>
            </w:r>
            <w:r>
              <w:rPr>
                <w:highlight w:val="none"/>
              </w:rPr>
            </w:r>
          </w:p>
        </w:tc>
        <w:tc>
          <w:tcPr>
            <w:gridSpan w:val="2"/>
            <w:tcW w:w="4819" w:type="dxa"/>
            <w:textDirection w:val="lrTb"/>
            <w:noWrap w:val="false"/>
          </w:tcPr>
          <w:p>
            <w:r>
              <w:t xml:space="preserve">Исследовательский метод обучения, проектная деятельность, работа в парах и малых группах, работа с графиками,таблицами, диаграммами</w:t>
            </w:r>
            <w:r/>
            <w:r/>
          </w:p>
        </w:tc>
        <w:tc>
          <w:tcPr>
            <w:gridSpan w:val="2"/>
            <w:tcW w:w="4528" w:type="dxa"/>
            <w:textDirection w:val="lrTb"/>
            <w:noWrap w:val="false"/>
          </w:tcPr>
          <w:p>
            <w:r>
              <w:t xml:space="preserve">Частично-поисковая деятельность, и</w:t>
            </w:r>
            <w:r>
              <w:t xml:space="preserve">сследовательский метод обучения, проектная деятельность</w:t>
            </w:r>
            <w:r>
              <w:t xml:space="preserve">, технология развития критического мышления, </w:t>
            </w:r>
            <w:r>
              <w:t xml:space="preserve">работа с графиками,таблицами, диаграммами</w:t>
            </w:r>
            <w:r/>
            <w:r/>
            <w:r/>
            <w:r/>
          </w:p>
        </w:tc>
      </w:tr>
      <w:tr>
        <w:trPr>
          <w:trHeight w:val="1410"/>
        </w:trPr>
        <w:tc>
          <w:tcPr>
            <w:gridSpan w:val="2"/>
            <w:tcW w:w="174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Ключевые показатели формирования (действия педагога)</w:t>
            </w:r>
            <w:r/>
          </w:p>
        </w:tc>
        <w:tc>
          <w:tcPr>
            <w:tcW w:w="4200" w:type="dxa"/>
            <w:textDirection w:val="lrTb"/>
            <w:noWrap w:val="false"/>
          </w:tcPr>
          <w:p>
            <w:r>
              <w:t xml:space="preserve">- анализирует свою деятельность и деятельность каждого обучающегося по формированию функциональной грамотности</w:t>
            </w:r>
            <w:r>
              <w:t xml:space="preserve">;</w:t>
            </w:r>
            <w:r/>
            <w:r/>
          </w:p>
          <w:p>
            <w:r>
              <w:t xml:space="preserve">-включает ребенка в разные виды деятельности с учетом инд. особенностей</w:t>
            </w:r>
            <w:r/>
            <w:r/>
          </w:p>
        </w:tc>
        <w:tc>
          <w:tcPr>
            <w:gridSpan w:val="2"/>
            <w:tcW w:w="4819" w:type="dxa"/>
            <w:textDirection w:val="lrTb"/>
            <w:noWrap w:val="false"/>
          </w:tcPr>
          <w:p>
            <w:r>
              <w:t xml:space="preserve">-</w:t>
            </w:r>
            <w:r>
              <w:t xml:space="preserve">Разработка индивидуальных образовательных маршрутов, отслеживание динамики в результатах по </w:t>
            </w:r>
            <w:r>
              <w:t xml:space="preserve">формированию функциональной грамотности</w:t>
            </w:r>
            <w:r/>
            <w:r/>
            <w:r>
              <w:t xml:space="preserve">;</w:t>
            </w:r>
            <w:r/>
            <w:r/>
          </w:p>
          <w:p>
            <w:r>
              <w:t xml:space="preserve">-</w:t>
            </w:r>
            <w:r>
              <w:t xml:space="preserve">Включение детей в детско-взрослые и социальные сообщества</w:t>
            </w:r>
            <w:r>
              <w:t xml:space="preserve">;</w:t>
            </w:r>
            <w:r/>
            <w:r/>
          </w:p>
          <w:p>
            <w:r>
              <w:rPr>
                <w:lang w:val="en-US"/>
              </w:rPr>
              <w:t xml:space="preserve">- </w:t>
            </w:r>
            <w:r>
              <w:t xml:space="preserve">профориентационная</w:t>
            </w:r>
            <w:r>
              <w:t xml:space="preserve"> деятельность</w:t>
            </w:r>
            <w:r/>
            <w:r/>
          </w:p>
        </w:tc>
        <w:tc>
          <w:tcPr>
            <w:gridSpan w:val="2"/>
            <w:tcW w:w="4528" w:type="dxa"/>
            <w:textDirection w:val="lrTb"/>
            <w:noWrap w:val="false"/>
          </w:tcPr>
          <w:p>
            <w:r>
              <w:t xml:space="preserve">- разработка и использование диагностических материалов</w:t>
            </w:r>
            <w:r>
              <w:t xml:space="preserve">;</w:t>
            </w:r>
            <w:r/>
            <w:r/>
          </w:p>
          <w:p>
            <w:r>
              <w:t xml:space="preserve">-схемы анализа, рефлексии</w:t>
            </w:r>
            <w:r>
              <w:rPr>
                <w:lang w:val="en-US"/>
              </w:rPr>
              <w:t xml:space="preserve">;</w:t>
            </w:r>
            <w:r/>
            <w:r/>
          </w:p>
          <w:p>
            <w:r>
              <w:t xml:space="preserve">- организация групповой и парной работы</w:t>
            </w:r>
            <w:r>
              <w:t xml:space="preserve"> </w:t>
            </w:r>
            <w:r>
              <w:t xml:space="preserve">;</w:t>
            </w:r>
            <w:r/>
            <w:r/>
          </w:p>
          <w:p>
            <w:r>
              <w:t xml:space="preserve">-использование ЦОРов и цифровых об</w:t>
            </w:r>
            <w:r>
              <w:t xml:space="preserve">разовательных платформ.</w:t>
            </w:r>
            <w:r/>
            <w:r/>
          </w:p>
        </w:tc>
      </w:tr>
      <w:tr>
        <w:trPr>
          <w:trHeight w:val="1426"/>
        </w:trPr>
        <w:tc>
          <w:tcPr>
            <w:gridSpan w:val="2"/>
            <w:tcW w:w="174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Ключевые показатели формирования (действия школьника)</w:t>
            </w:r>
            <w:r/>
          </w:p>
        </w:tc>
        <w:tc>
          <w:tcPr>
            <w:tcW w:w="4200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t xml:space="preserve">- формулирует цели</w:t>
            </w:r>
            <w:r>
              <w:rPr>
                <w:lang w:val="en-US"/>
              </w:rPr>
              <w:t xml:space="preserve">;</w:t>
            </w:r>
            <w:r>
              <w:rPr>
                <w:lang w:val="en-US"/>
              </w:rPr>
            </w:r>
            <w:r/>
          </w:p>
          <w:p>
            <w:r>
              <w:t xml:space="preserve">-конструирует учебную ситуацию</w:t>
            </w:r>
            <w:r/>
            <w:r/>
          </w:p>
          <w:p>
            <w:pPr>
              <w:rPr>
                <w:highlight w:val="none"/>
              </w:rPr>
            </w:pPr>
            <w:r>
              <w:t xml:space="preserve">-рефлексирует собственную деятельность и работу группы</w:t>
            </w:r>
            <w:r>
              <w:t xml:space="preserve">;</w:t>
            </w:r>
            <w:r/>
            <w:r/>
          </w:p>
          <w:p>
            <w:r>
              <w:rPr>
                <w:highlight w:val="none"/>
              </w:rPr>
              <w:t xml:space="preserve">-при работе с учебным материалом объясняет смысл прочитанного, образа, ситуации</w:t>
            </w:r>
            <w:r>
              <w:rPr>
                <w:highlight w:val="none"/>
                <w:lang w:val="en-US"/>
              </w:rPr>
              <w:t xml:space="preserve">;</w:t>
            </w:r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</w:r>
          </w:p>
          <w:p>
            <w:r>
              <w:t xml:space="preserve">- выполнение групповых проектов</w:t>
            </w:r>
            <w:r>
              <w:rPr>
                <w:lang w:val="en-US"/>
              </w:rPr>
              <w:t xml:space="preserve">;</w:t>
            </w:r>
            <w:r/>
            <w:r/>
          </w:p>
          <w:p>
            <w:r>
              <w:t xml:space="preserve">-участвует в школьном самоуправлении и </w:t>
            </w:r>
            <w:r>
              <w:t xml:space="preserve">общественной жизни в пределах</w:t>
            </w:r>
            <w:r>
              <w:t xml:space="preserve"> </w:t>
            </w:r>
            <w:r>
              <w:t xml:space="preserve">возрастных компетенций.</w:t>
            </w:r>
            <w:r/>
            <w:r/>
          </w:p>
        </w:tc>
        <w:tc>
          <w:tcPr>
            <w:gridSpan w:val="2"/>
            <w:tcW w:w="4819" w:type="dxa"/>
            <w:textDirection w:val="lrTb"/>
            <w:noWrap w:val="false"/>
          </w:tcPr>
          <w:p>
            <w:r>
              <w:t xml:space="preserve">-активное  включение в урочную и внеурочную деятельность</w:t>
            </w:r>
            <w:r>
              <w:t xml:space="preserve">;</w:t>
            </w:r>
            <w:r/>
            <w:r/>
          </w:p>
          <w:p>
            <w:r>
              <w:t xml:space="preserve">- участие в дискуссиях при принятии решений</w:t>
            </w:r>
            <w:r>
              <w:t xml:space="preserve">;</w:t>
            </w:r>
            <w:r/>
            <w:r/>
          </w:p>
          <w:p>
            <w:pPr>
              <w:ind w:left="0" w:firstLine="0"/>
            </w:pPr>
            <w:r>
              <w:t xml:space="preserve">-при работе с учебным материалом</w:t>
            </w:r>
            <w:r>
              <w:rPr>
                <w:lang w:val="en-US"/>
              </w:rPr>
              <w:t xml:space="preserve">:</w:t>
            </w:r>
            <w:r>
              <w:rPr>
                <w:lang w:val="ru-RU"/>
              </w:rPr>
              <w:t xml:space="preserve"> </w:t>
            </w:r>
            <w:r>
              <w:t xml:space="preserve">классификация</w:t>
            </w:r>
            <w:r>
              <w:t xml:space="preserve"> ,</w:t>
            </w:r>
            <w:r>
              <w:t xml:space="preserve"> дифференциация информации, установление причинно-следственных связей.</w:t>
            </w:r>
            <w:r/>
            <w:r/>
          </w:p>
        </w:tc>
        <w:tc>
          <w:tcPr>
            <w:gridSpan w:val="2"/>
            <w:tcW w:w="4528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- реализация индивидуального учебного плана</w:t>
            </w:r>
            <w:r>
              <w:rPr>
                <w:lang w:val="en-US"/>
              </w:rPr>
              <w:t xml:space="preserve">;</w:t>
            </w:r>
            <w:bookmarkStart w:id="0" w:name="_GoBack"/>
            <w:r/>
            <w:bookmarkEnd w:id="0"/>
            <w:r/>
            <w:r/>
          </w:p>
          <w:p>
            <w:pPr>
              <w:pStyle w:val="498"/>
              <w:numPr>
                <w:ilvl w:val="0"/>
                <w:numId w:val="4"/>
              </w:numPr>
              <w:ind w:left="0" w:right="0" w:hanging="142"/>
            </w:pPr>
            <w:r>
              <w:rPr>
                <w:highlight w:val="none"/>
              </w:rPr>
              <w:t xml:space="preserve">выполнение индивидуального проекта</w:t>
            </w:r>
            <w:r>
              <w:rPr>
                <w:highlight w:val="none"/>
                <w:lang w:val="en-US"/>
              </w:rPr>
              <w:t xml:space="preserve">;</w:t>
            </w:r>
            <w:r>
              <w:rPr>
                <w:highlight w:val="none"/>
              </w:rPr>
            </w:r>
          </w:p>
          <w:p>
            <w:r>
              <w:t xml:space="preserve">- распределение ролей в группе</w:t>
            </w:r>
            <w:r>
              <w:t xml:space="preserve">;</w:t>
            </w:r>
            <w:r/>
            <w:r/>
          </w:p>
          <w:p>
            <w:r/>
            <w:r>
              <w:t xml:space="preserve">- </w:t>
            </w:r>
            <w:r>
              <w:t xml:space="preserve">использование ЦОРов и цифровых об</w:t>
            </w:r>
            <w:r>
              <w:t xml:space="preserve">разовательных платформ</w:t>
            </w:r>
            <w:r>
              <w:rPr>
                <w:lang w:val="en-US"/>
              </w:rPr>
              <w:t xml:space="preserve">;</w:t>
            </w:r>
            <w:r/>
            <w:r/>
          </w:p>
          <w:p>
            <w:r>
              <w:t xml:space="preserve">-ведение </w:t>
            </w:r>
            <w:r>
              <w:t xml:space="preserve">предметного</w:t>
            </w:r>
            <w:r>
              <w:t xml:space="preserve"> портфолио</w:t>
            </w:r>
            <w:r>
              <w:t xml:space="preserve">;</w:t>
            </w:r>
            <w:r/>
            <w:r/>
          </w:p>
          <w:p>
            <w:r>
              <w:t xml:space="preserve">- рефлексия собственной деятельности</w:t>
            </w:r>
            <w:r>
              <w:t xml:space="preserve">.</w:t>
            </w:r>
            <w:r/>
            <w:r/>
          </w:p>
        </w:tc>
      </w:tr>
      <w:tr>
        <w:trPr>
          <w:trHeight w:val="324"/>
        </w:trPr>
        <w:tc>
          <w:tcPr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Оценка взаимодействия</w:t>
            </w:r>
            <w:r/>
          </w:p>
        </w:tc>
        <w:tc>
          <w:tcPr>
            <w:gridSpan w:val="3"/>
            <w:tcW w:w="7796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 Имя Отчество</w:t>
            </w:r>
            <w:r/>
          </w:p>
        </w:tc>
        <w:tc>
          <w:tcPr>
            <w:gridSpan w:val="2"/>
            <w:tcW w:w="2977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Должность</w:t>
            </w:r>
            <w:r/>
          </w:p>
        </w:tc>
        <w:tc>
          <w:tcPr>
            <w:tcW w:w="3110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Организация</w:t>
            </w:r>
            <w:r/>
          </w:p>
        </w:tc>
      </w:tr>
      <w:tr>
        <w:trPr>
          <w:trHeight w:val="273"/>
        </w:trPr>
        <w:tc>
          <w:tcPr>
            <w:tcW w:w="1413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gridSpan w:val="3"/>
            <w:tcW w:w="7796" w:type="dxa"/>
            <w:textDirection w:val="lrTb"/>
            <w:noWrap w:val="false"/>
          </w:tcPr>
          <w:p>
            <w:pPr>
              <w:tabs>
                <w:tab w:val="left" w:pos="6735" w:leader="none"/>
              </w:tabs>
            </w:pPr>
            <w:r>
              <w:t xml:space="preserve">Ануфриева Наталья Николаевна</w:t>
              <w:tab/>
            </w:r>
            <w:r/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r>
              <w:t xml:space="preserve">зам. директооа по УВР</w:t>
            </w:r>
            <w:r/>
          </w:p>
        </w:tc>
        <w:tc>
          <w:tcPr>
            <w:tcW w:w="3110" w:type="dxa"/>
            <w:textDirection w:val="lrTb"/>
            <w:noWrap w:val="false"/>
          </w:tcPr>
          <w:p>
            <w:r>
              <w:t xml:space="preserve">МБОУ СШ № 18</w:t>
            </w:r>
            <w:r/>
          </w:p>
        </w:tc>
      </w:tr>
      <w:tr>
        <w:trPr>
          <w:trHeight w:val="276"/>
        </w:trPr>
        <w:tc>
          <w:tcPr>
            <w:tcW w:w="1413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gridSpan w:val="3"/>
            <w:tcW w:w="7796" w:type="dxa"/>
            <w:textDirection w:val="lrTb"/>
            <w:noWrap w:val="false"/>
          </w:tcPr>
          <w:p>
            <w:r>
              <w:t xml:space="preserve">Колесникова Ирина Васильева</w:t>
            </w:r>
            <w:r/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r>
              <w:t xml:space="preserve">зам. директора по УВР</w:t>
            </w:r>
            <w:r/>
          </w:p>
        </w:tc>
        <w:tc>
          <w:tcPr>
            <w:tcW w:w="3110" w:type="dxa"/>
            <w:textDirection w:val="lrTb"/>
            <w:noWrap w:val="false"/>
          </w:tcPr>
          <w:p>
            <w:r>
              <w:t xml:space="preserve">МБОУ СШ № 144</w:t>
            </w:r>
            <w:r/>
          </w:p>
        </w:tc>
      </w:tr>
      <w:tr>
        <w:trPr>
          <w:trHeight w:val="281"/>
        </w:trPr>
        <w:tc>
          <w:tcPr>
            <w:tcW w:w="1413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gridSpan w:val="3"/>
            <w:tcW w:w="7796" w:type="dxa"/>
            <w:textDirection w:val="lrTb"/>
            <w:noWrap w:val="false"/>
          </w:tcPr>
          <w:p>
            <w:r>
              <w:t xml:space="preserve">Толомеева Ольга Александровна</w:t>
            </w:r>
            <w:r/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r>
              <w:t xml:space="preserve">зам. директора по УВР</w:t>
            </w:r>
            <w:r/>
          </w:p>
        </w:tc>
        <w:tc>
          <w:tcPr>
            <w:tcW w:w="3110" w:type="dxa"/>
            <w:textDirection w:val="lrTb"/>
            <w:noWrap w:val="false"/>
          </w:tcPr>
          <w:p>
            <w:r>
              <w:t xml:space="preserve">МБОУ СШ № 143</w:t>
            </w:r>
            <w:r/>
          </w:p>
        </w:tc>
      </w:tr>
    </w:tbl>
    <w:p>
      <w:pPr>
        <w:spacing w:lineRule="auto" w:line="240"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5</w:t>
      </w:r>
      <w:r>
        <w:rPr>
          <w:i/>
          <w:sz w:val="16"/>
          <w:szCs w:val="16"/>
        </w:rPr>
        <w:t xml:space="preserve"> – </w:t>
      </w:r>
      <w:r>
        <w:rPr>
          <w:i/>
          <w:sz w:val="16"/>
          <w:szCs w:val="16"/>
        </w:rPr>
        <w:t xml:space="preserve"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>
        <w:rPr>
          <w:i/>
          <w:sz w:val="16"/>
          <w:szCs w:val="16"/>
        </w:rPr>
        <w:t xml:space="preserve">продуктивно</w:t>
      </w:r>
      <w:r>
        <w:rPr>
          <w:i/>
          <w:sz w:val="16"/>
          <w:szCs w:val="16"/>
        </w:rPr>
        <w:t xml:space="preserve">; 3 – </w:t>
      </w:r>
      <w:r>
        <w:rPr>
          <w:i/>
          <w:sz w:val="16"/>
          <w:szCs w:val="16"/>
        </w:rPr>
        <w:t xml:space="preserve">посредственно</w:t>
      </w:r>
      <w:r>
        <w:rPr>
          <w:i/>
          <w:sz w:val="16"/>
          <w:szCs w:val="16"/>
        </w:rPr>
        <w:t xml:space="preserve">; 2 – </w:t>
      </w:r>
      <w:r>
        <w:rPr>
          <w:i/>
          <w:sz w:val="16"/>
          <w:szCs w:val="16"/>
        </w:rPr>
        <w:t xml:space="preserve">формально</w:t>
      </w:r>
      <w:r>
        <w:rPr>
          <w:i/>
          <w:sz w:val="16"/>
          <w:szCs w:val="16"/>
        </w:rPr>
        <w:t xml:space="preserve">; 1 – </w:t>
      </w:r>
      <w:r>
        <w:rPr>
          <w:i/>
          <w:sz w:val="16"/>
          <w:szCs w:val="16"/>
        </w:rPr>
        <w:t xml:space="preserve">слегка</w:t>
      </w:r>
      <w:r>
        <w:rPr>
          <w:i/>
          <w:sz w:val="16"/>
          <w:szCs w:val="16"/>
        </w:rPr>
        <w:t xml:space="preserve">; 0 - </w:t>
      </w:r>
      <w:r>
        <w:rPr>
          <w:i/>
          <w:sz w:val="16"/>
          <w:szCs w:val="16"/>
        </w:rPr>
        <w:t xml:space="preserve">потерянное время</w:t>
      </w:r>
      <w:r/>
    </w:p>
    <w:sectPr>
      <w:headerReference w:type="default" r:id="rId9"/>
      <w:footnotePr/>
      <w:endnotePr/>
      <w:type w:val="nextPage"/>
      <w:pgSz w:w="16838" w:h="11906" w:orient="landscape"/>
      <w:pgMar w:top="720" w:right="720" w:bottom="720" w:left="720" w:header="567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92"/>
      <w:tabs>
        <w:tab w:val="clear" w:pos="4677" w:leader="none"/>
        <w:tab w:val="left" w:pos="8505" w:leader="none"/>
        <w:tab w:val="clear" w:pos="9355" w:leader="none"/>
      </w:tabs>
    </w:pPr>
    <w:r>
      <w:rPr>
        <w:b/>
        <w:sz w:val="24"/>
        <w:szCs w:val="24"/>
      </w:rPr>
      <w:t xml:space="preserve">Карта </w:t>
    </w:r>
    <w:r>
      <w:rPr>
        <w:b/>
        <w:bCs/>
        <w:sz w:val="24"/>
        <w:szCs w:val="24"/>
      </w:rPr>
      <w:t xml:space="preserve">формировани</w:t>
    </w:r>
    <w:r>
      <w:rPr>
        <w:b/>
        <w:bCs/>
        <w:sz w:val="24"/>
        <w:szCs w:val="24"/>
      </w:rPr>
      <w:t xml:space="preserve">я</w:t>
    </w:r>
    <w:r>
      <w:rPr>
        <w:sz w:val="24"/>
        <w:szCs w:val="24"/>
      </w:rPr>
      <w:t xml:space="preserve"> </w:t>
    </w:r>
    <w:r>
      <w:rPr>
        <w:sz w:val="24"/>
        <w:szCs w:val="24"/>
      </w:rPr>
      <w:t xml:space="preserve">ключевых</w:t>
    </w:r>
    <w:r>
      <w:rPr>
        <w:sz w:val="24"/>
        <w:szCs w:val="24"/>
      </w:rPr>
      <w:t xml:space="preserve"> </w:t>
    </w:r>
    <w:r>
      <w:rPr>
        <w:sz w:val="24"/>
        <w:szCs w:val="24"/>
      </w:rPr>
      <w:t xml:space="preserve">умений и качеств для результатов обучения</w:t>
    </w:r>
    <w:r>
      <w:rPr>
        <w:sz w:val="24"/>
        <w:szCs w:val="24"/>
      </w:rPr>
      <w:t xml:space="preserve">.</w:t>
    </w:r>
    <w:r>
      <w:rPr>
        <w:b/>
        <w:sz w:val="24"/>
        <w:szCs w:val="24"/>
      </w:rPr>
      <w:tab/>
    </w:r>
    <w:r>
      <w:t xml:space="preserve">Образовательная организация _МБОУ СШ № 69</w:t>
    </w:r>
    <w:r/>
    <w:r/>
  </w:p>
  <w:p>
    <w:pPr>
      <w:pStyle w:val="492"/>
      <w:spacing w:before="120"/>
    </w:pPr>
    <w:r>
      <w:t xml:space="preserve">Ответственное лицо </w:t>
    </w:r>
    <w:r>
      <w:t xml:space="preserve">(Фамилия Имя Отчество, должность)</w:t>
    </w:r>
    <w:r>
      <w:t xml:space="preserve"> Скурихина Светлана Николаевна</w:t>
    </w:r>
    <w:r>
      <w:t xml:space="preserve">, зам. директора по УВР_______________</w:t>
    </w:r>
    <w:r>
      <w:t xml:space="preserve">_____________</w:t>
    </w:r>
    <w:r>
      <w:t xml:space="preserve">____</w:t>
    </w:r>
    <w:r/>
  </w:p>
  <w:p>
    <w:pPr>
      <w:pStyle w:val="492"/>
      <w:spacing w:after="120" w:before="120"/>
    </w:pPr>
    <w:r>
      <w:t xml:space="preserve">Решение педагогического (методического) совета № 8 от 28.10. 2020 года</w:t>
    </w:r>
    <w:r>
      <w:t xml:space="preserve"> о формируемых умениях и качествах.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87"/>
    <w:next w:val="48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8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87"/>
    <w:next w:val="48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8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87"/>
    <w:next w:val="48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8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87"/>
    <w:next w:val="48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8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87"/>
    <w:next w:val="48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8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87"/>
    <w:next w:val="48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8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87"/>
    <w:next w:val="48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8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87"/>
    <w:next w:val="48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8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87"/>
    <w:next w:val="48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8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87"/>
    <w:next w:val="48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88"/>
    <w:link w:val="32"/>
    <w:uiPriority w:val="10"/>
    <w:rPr>
      <w:sz w:val="48"/>
      <w:szCs w:val="48"/>
    </w:rPr>
  </w:style>
  <w:style w:type="paragraph" w:styleId="34">
    <w:name w:val="Subtitle"/>
    <w:basedOn w:val="487"/>
    <w:next w:val="48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88"/>
    <w:link w:val="34"/>
    <w:uiPriority w:val="11"/>
    <w:rPr>
      <w:sz w:val="24"/>
      <w:szCs w:val="24"/>
    </w:rPr>
  </w:style>
  <w:style w:type="paragraph" w:styleId="36">
    <w:name w:val="Quote"/>
    <w:basedOn w:val="487"/>
    <w:next w:val="48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87"/>
    <w:next w:val="487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88"/>
    <w:link w:val="492"/>
    <w:uiPriority w:val="99"/>
  </w:style>
  <w:style w:type="character" w:styleId="43">
    <w:name w:val="Footer Char"/>
    <w:basedOn w:val="488"/>
    <w:link w:val="494"/>
    <w:uiPriority w:val="99"/>
  </w:style>
  <w:style w:type="paragraph" w:styleId="44">
    <w:name w:val="Caption"/>
    <w:basedOn w:val="487"/>
    <w:next w:val="4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94"/>
    <w:uiPriority w:val="99"/>
  </w:style>
  <w:style w:type="table" w:styleId="47">
    <w:name w:val="Table Grid Light"/>
    <w:basedOn w:val="4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8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88"/>
    <w:uiPriority w:val="99"/>
    <w:unhideWhenUsed/>
    <w:rPr>
      <w:vertAlign w:val="superscript"/>
    </w:rPr>
  </w:style>
  <w:style w:type="paragraph" w:styleId="176">
    <w:name w:val="endnote text"/>
    <w:basedOn w:val="48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88"/>
    <w:uiPriority w:val="99"/>
    <w:semiHidden/>
    <w:unhideWhenUsed/>
    <w:rPr>
      <w:vertAlign w:val="superscript"/>
    </w:rPr>
  </w:style>
  <w:style w:type="paragraph" w:styleId="179">
    <w:name w:val="toc 1"/>
    <w:basedOn w:val="487"/>
    <w:next w:val="48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87"/>
    <w:next w:val="48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87"/>
    <w:next w:val="48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87"/>
    <w:next w:val="48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87"/>
    <w:next w:val="48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87"/>
    <w:next w:val="48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87"/>
    <w:next w:val="48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87"/>
    <w:next w:val="48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87"/>
    <w:next w:val="48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87" w:default="1">
    <w:name w:val="Normal"/>
    <w:qFormat/>
  </w:style>
  <w:style w:type="character" w:styleId="488" w:default="1">
    <w:name w:val="Default Paragraph Font"/>
    <w:uiPriority w:val="1"/>
    <w:semiHidden/>
    <w:unhideWhenUsed/>
  </w:style>
  <w:style w:type="table" w:styleId="4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90" w:default="1">
    <w:name w:val="No List"/>
    <w:uiPriority w:val="99"/>
    <w:semiHidden/>
    <w:unhideWhenUsed/>
  </w:style>
  <w:style w:type="table" w:styleId="491">
    <w:name w:val="Table Grid"/>
    <w:basedOn w:val="489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492">
    <w:name w:val="Header"/>
    <w:basedOn w:val="487"/>
    <w:link w:val="49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493" w:customStyle="1">
    <w:name w:val="Верхний колонтитул Знак"/>
    <w:basedOn w:val="488"/>
    <w:link w:val="492"/>
    <w:uiPriority w:val="99"/>
  </w:style>
  <w:style w:type="paragraph" w:styleId="494">
    <w:name w:val="Footer"/>
    <w:basedOn w:val="487"/>
    <w:link w:val="4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495" w:customStyle="1">
    <w:name w:val="Нижний колонтитул Знак"/>
    <w:basedOn w:val="488"/>
    <w:link w:val="494"/>
    <w:uiPriority w:val="99"/>
  </w:style>
  <w:style w:type="paragraph" w:styleId="496">
    <w:name w:val="Balloon Text"/>
    <w:basedOn w:val="487"/>
    <w:link w:val="49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497" w:customStyle="1">
    <w:name w:val="Текст выноски Знак"/>
    <w:basedOn w:val="488"/>
    <w:link w:val="496"/>
    <w:uiPriority w:val="99"/>
    <w:semiHidden/>
    <w:rPr>
      <w:rFonts w:ascii="Segoe UI" w:hAnsi="Segoe UI" w:cs="Segoe UI"/>
      <w:sz w:val="18"/>
      <w:szCs w:val="18"/>
    </w:rPr>
  </w:style>
  <w:style w:type="paragraph" w:styleId="498">
    <w:name w:val="List Paragraph"/>
    <w:basedOn w:val="48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revision>14</cp:revision>
  <dcterms:created xsi:type="dcterms:W3CDTF">2019-10-14T08:20:00Z</dcterms:created>
  <dcterms:modified xsi:type="dcterms:W3CDTF">2021-03-19T08:10:46Z</dcterms:modified>
</cp:coreProperties>
</file>