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98"/>
        <w:tblW w:w="15430" w:type="dxa"/>
        <w:tblLook w:val="04A0" w:firstRow="1" w:lastRow="0" w:firstColumn="1" w:lastColumn="0" w:noHBand="0" w:noVBand="1"/>
      </w:tblPr>
      <w:tblGrid>
        <w:gridCol w:w="1659"/>
        <w:gridCol w:w="604"/>
        <w:gridCol w:w="4189"/>
        <w:gridCol w:w="3272"/>
        <w:gridCol w:w="1327"/>
        <w:gridCol w:w="1424"/>
        <w:gridCol w:w="2936"/>
        <w:gridCol w:w="19"/>
      </w:tblGrid>
      <w:tr>
        <w:trPr>
          <w:gridAfter w:val="1"/>
        </w:trPr>
        <w:tc>
          <w:tcPr>
            <w:gridSpan w:val="2"/>
            <w:tcW w:w="2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</w:rPr>
              <w:t xml:space="preserve">Аспект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4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</w:rPr>
              <w:t xml:space="preserve">Дети 7-9 лет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5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</w:rPr>
              <w:t xml:space="preserve">Подростки 10-14 лет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3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</w:rPr>
              <w:t xml:space="preserve">Молодёжь 15-17 лет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gridAfter w:val="1"/>
          <w:trHeight w:val="938"/>
        </w:trPr>
        <w:tc>
          <w:tcPr>
            <w:gridSpan w:val="2"/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Качества личности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  <w:t xml:space="preserve">(не более 3-х)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5"/>
            <w:tcW w:w="13148" w:type="dxa"/>
            <w:textDirection w:val="lrTb"/>
            <w:noWrap w:val="false"/>
          </w:tcPr>
          <w:p>
            <w:pPr>
              <w:pStyle w:val="505"/>
              <w:numPr>
                <w:ilvl w:val="0"/>
                <w:numId w:val="1"/>
              </w:numPr>
              <w:ind w:left="1175" w:hanging="21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Воля 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(сознательное стремление к осуществлению цели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505"/>
              <w:numPr>
                <w:ilvl w:val="0"/>
                <w:numId w:val="1"/>
              </w:numPr>
              <w:ind w:left="1175" w:hanging="21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Ответственность (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обязанность отвечать за поступки и действия, а также за их последствия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505"/>
              <w:numPr>
                <w:ilvl w:val="0"/>
                <w:numId w:val="1"/>
              </w:numPr>
              <w:ind w:left="1175" w:hanging="21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Доброжелательность (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позитивное, благожелательное отношение к другому, проявление участия, расположение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gridAfter w:val="1"/>
          <w:trHeight w:val="979"/>
        </w:trPr>
        <w:tc>
          <w:tcPr>
            <w:gridSpan w:val="2"/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Социальные умения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  <w:t xml:space="preserve">(не более 3-х)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5"/>
            <w:tcW w:w="13148" w:type="dxa"/>
            <w:textDirection w:val="lrTb"/>
            <w:noWrap w:val="false"/>
          </w:tcPr>
          <w:p>
            <w:pPr>
              <w:pStyle w:val="505"/>
              <w:numPr>
                <w:ilvl w:val="0"/>
                <w:numId w:val="4"/>
              </w:numPr>
              <w:ind w:left="1175" w:hanging="21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Анализировать (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познавать, изучая составные части целого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505"/>
              <w:numPr>
                <w:ilvl w:val="0"/>
                <w:numId w:val="4"/>
              </w:numPr>
              <w:ind w:left="1175" w:hanging="21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Интерпретировать (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объяснять, истолковывать, трактовать смысл текста, образа, ситуации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pStyle w:val="505"/>
              <w:numPr>
                <w:ilvl w:val="0"/>
                <w:numId w:val="4"/>
              </w:numPr>
              <w:ind w:left="1175" w:hanging="218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Целеполагание (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сопоставлять внешнее требование, потребности, условия и способ </w:t>
            </w:r>
            <w:r>
              <w:rPr>
                <w:rFonts w:ascii="Times New Roman" w:hAnsi="Times New Roman" w:cs="Times New Roman" w:eastAsia="Times New Roman"/>
                <w:i/>
                <w:iCs/>
                <w:sz w:val="22"/>
              </w:rPr>
              <w:t xml:space="preserve">действования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gridAfter w:val="1"/>
          <w:trHeight w:val="1113"/>
        </w:trPr>
        <w:tc>
          <w:tcPr>
            <w:gridSpan w:val="2"/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Ситуации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и критерии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оценивания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степени становления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  <w:t xml:space="preserve">качеств и умений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41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Отсутствие правонарушений.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Отзывы сверстников и педагогов.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Умение контролировать эмоциональное состояние и проявлять себя в различных сферах.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Отсутствие правонарушений.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Отзывы сверстников и педагогов.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Вовлеченность в проектную, социально-значимую деятельность.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Умение контролировать эмоциональное состояние и проявлять себя в различных сферах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Отсутствие правонарушений.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Отзывы сверстников и педагогов.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Вовлеченность в проектную, социально-значимую деятельность.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Умение контролировать эмоциональное состояние и проявлять себя в различных сферах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gridAfter w:val="1"/>
          <w:trHeight w:val="1124"/>
        </w:trPr>
        <w:tc>
          <w:tcPr>
            <w:gridSpan w:val="2"/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Формы и способы, обеспечивающие становление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качеств и умений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41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Проекты: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Фестиваль театральных миниатюр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Фестиваль военно-патриотической песни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«Экологические тропинки» 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ind w:left="0" w:firstLine="0"/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-«Карта Города-Герои»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</w:p>
          <w:p>
            <w:pPr>
              <w:ind w:left="0" w:firstLine="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«Стена памяти»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Классные часы: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День солидарности в борьбе с терроризмом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singl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Конкурс «Краски земли», посвященный творчеству А.Г.Поздеева</w:t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Отчетный концерт школы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Праздник прощания с букварем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Общешкольна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я новогодняя шоу-программа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ень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 здоровья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 в школе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Акция «Кормушка»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Проекты: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Фестиваль театральных миниатюр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Фестиваль военно-патриотической песни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-«Карта Города-Герои»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«Стена памяти»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  <w:t xml:space="preserve">-Фестиваль «История моего успеха»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Деятельность волонтерского движения «Крылья добра»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Классные часы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День солидарности в борьбе с терроризмом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«Уголовная ответственность несовершеннолетнего»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Мероприятия: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Конкурс «Краски земли», посвященный творчеству А.Г.Поздеева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Отчетный концерт школы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Пра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здник посвящения в пятиклассники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-Конкурс «Краса-длинная коса»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Сдача нормативов ГТО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Акция «Молодежь выбирает жизнь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  <w:u w:val="non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Уроки мужества с участием ветеранов ВОВ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Общешкольна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я новогодняя шоу-программа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-День здоровья в школе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</w:tc>
        <w:tc>
          <w:tcPr>
            <w:gridSpan w:val="2"/>
            <w:tcW w:w="4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Проекты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Фестиваль театральных миниатюр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Фестиваль военно-патриотической песни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ind w:left="0" w:firstLine="0"/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-«Карта Города-Герои»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ind w:left="0" w:firstLine="0"/>
              <w:rPr>
                <w:rFonts w:ascii="Times New Roman" w:hAnsi="Times New Roman" w:cs="Times New Roman" w:eastAsia="Times New Roman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«Стена памяти»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Деятельность волонтерского движения «Крылья добра»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Трудовые акции.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Классные часы: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День солидарности в борьбе с терроризмом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«Уголовная ответственность несовершеннолетнего»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  <w:t xml:space="preserve">Мероприятия:</w:t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  <w:r>
              <w:rPr>
                <w:rFonts w:ascii="Times New Roman" w:hAnsi="Times New Roman" w:cs="Times New Roman" w:eastAsia="Times New Roman"/>
                <w:sz w:val="22"/>
                <w:u w:val="single"/>
              </w:rPr>
            </w:r>
          </w:p>
          <w:p>
            <w:pPr>
              <w:rPr>
                <w:rFonts w:ascii="Times New Roman" w:hAnsi="Times New Roman" w:cs="Times New Roman" w:eastAsia="Times New Roman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  <w:t xml:space="preserve">Конкурс «Краски земли», посвященный творчеству А.Г.Поздеева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-Конкурс «Краса-длинная коса»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Сдача нормативов ГТО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Акция «Молодежь выбирает жизнь</w:t>
            </w:r>
            <w:r>
              <w:rPr>
                <w:rFonts w:ascii="Times New Roman" w:hAnsi="Times New Roman" w:cs="Times New Roman" w:eastAsia="Times New Roman"/>
                <w:sz w:val="22"/>
                <w:szCs w:val="20"/>
                <w:u w:val="non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Уроки мужества с участием ветеранов ВОВ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Общешкольна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я новогодняя шоу-программа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-День здоровья в школе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u w:val="none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  <w:t xml:space="preserve">Военно-спортивные состязания в честь Дня Победы</w:t>
            </w:r>
            <w:r>
              <w:rPr>
                <w:rFonts w:ascii="Times New Roman" w:hAnsi="Times New Roman" w:cs="Times New Roman" w:eastAsia="Times New Roman"/>
                <w:sz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  <w:u w:val="none"/>
              </w:rPr>
            </w:r>
          </w:p>
        </w:tc>
      </w:tr>
      <w:tr>
        <w:trPr>
          <w:gridAfter w:val="1"/>
          <w:trHeight w:val="1410"/>
        </w:trPr>
        <w:tc>
          <w:tcPr>
            <w:gridSpan w:val="2"/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Ключевые показатели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формирования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качеств и умений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  <w:t xml:space="preserve">в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действия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педагога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41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Привлекает специалистов.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Подбирает темы бесед.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Организовывает проектную деятельность.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Подбирает темы бесед.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Организовывает проектную деятельность.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gridAfter w:val="1"/>
          <w:trHeight w:val="1426"/>
        </w:trPr>
        <w:tc>
          <w:tcPr>
            <w:gridSpan w:val="2"/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Ключевые показатели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становления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качеств и умений </w:t>
            </w:r>
            <w:r>
              <w:rPr>
                <w:rFonts w:ascii="Times New Roman" w:hAnsi="Times New Roman" w:cs="Times New Roman" w:eastAsia="Times New Roman"/>
                <w:sz w:val="22"/>
              </w:rPr>
              <w:br/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поведении и действиях</w:t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 школьника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418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Сотрудничает в команде. 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Уверенно говорит с группой сверстников и взрослыми.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Умеет предложить свою помощь.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Регулирует конфликты.</w:t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2"/>
              </w:rPr>
            </w:r>
            <w:bookmarkEnd w:id="0"/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Адекватно выражает собственную позицию.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Умеет привлечь внимание собеседника.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436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Участвует в принятии решений.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Доступно и интересно излагает свои идеи.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Умеет слушать собеседника и проявлять заинтересованность в том, что он говорит.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trHeight w:val="324"/>
        </w:trPr>
        <w:tc>
          <w:tcPr>
            <w:tcW w:w="16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2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z w:val="22"/>
                <w:szCs w:val="16"/>
              </w:rPr>
              <w:t xml:space="preserve">Оценка взаимодействия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3"/>
            <w:tcW w:w="80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sz w:val="22"/>
              </w:rPr>
              <w:t xml:space="preserve">Фамилия Имя Отчество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7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sz w:val="22"/>
              </w:rPr>
              <w:t xml:space="preserve">Должность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9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sz w:val="22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trHeight w:val="273"/>
        </w:trPr>
        <w:tc>
          <w:tcPr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3"/>
            <w:tcW w:w="8065" w:type="dxa"/>
            <w:textDirection w:val="lrTb"/>
            <w:noWrap w:val="false"/>
          </w:tcPr>
          <w:p>
            <w:pPr>
              <w:tabs>
                <w:tab w:val="left" w:pos="6735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Танкова Татьяна Константиновна</w:t>
              <w:tab/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7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Зам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.д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9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МБОУ СШ № 147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trHeight w:val="276"/>
        </w:trPr>
        <w:tc>
          <w:tcPr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3"/>
            <w:tcW w:w="8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Зяблова Евгения Владимировна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7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Зам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.д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иректора по ВР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9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МАОУ СШ №152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trHeight w:val="281"/>
        </w:trPr>
        <w:tc>
          <w:tcPr>
            <w:tcW w:w="1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3"/>
            <w:tcW w:w="8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Войтитская Ирина Викторовна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7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Зам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.д</w:t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  <w:t xml:space="preserve">иректора по ВР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gridSpan w:val="2"/>
            <w:tcW w:w="29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МБОУ СШ №</w:t>
            </w:r>
            <w:r/>
            <w:r>
              <w:rPr>
                <w:rFonts w:ascii="Times New Roman" w:hAnsi="Times New Roman" w:cs="Times New Roman" w:eastAsia="Times New Roman"/>
                <w:sz w:val="22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spacing w:lineRule="auto" w:line="240"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5</w:t>
      </w:r>
      <w:r>
        <w:rPr>
          <w:i/>
          <w:sz w:val="16"/>
          <w:szCs w:val="16"/>
        </w:rPr>
        <w:t xml:space="preserve"> – </w:t>
      </w:r>
      <w:r>
        <w:rPr>
          <w:i/>
          <w:sz w:val="16"/>
          <w:szCs w:val="16"/>
        </w:rPr>
        <w:t xml:space="preserve"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>
        <w:rPr>
          <w:i/>
          <w:sz w:val="16"/>
          <w:szCs w:val="16"/>
        </w:rPr>
        <w:t xml:space="preserve">продуктивно</w:t>
      </w:r>
      <w:r>
        <w:rPr>
          <w:i/>
          <w:sz w:val="16"/>
          <w:szCs w:val="16"/>
        </w:rPr>
        <w:t xml:space="preserve">; 3 – </w:t>
      </w:r>
      <w:r>
        <w:rPr>
          <w:i/>
          <w:sz w:val="16"/>
          <w:szCs w:val="16"/>
        </w:rPr>
        <w:t xml:space="preserve">посредственно</w:t>
      </w:r>
      <w:r>
        <w:rPr>
          <w:i/>
          <w:sz w:val="16"/>
          <w:szCs w:val="16"/>
        </w:rPr>
        <w:t xml:space="preserve">; 2 – </w:t>
      </w:r>
      <w:r>
        <w:rPr>
          <w:i/>
          <w:sz w:val="16"/>
          <w:szCs w:val="16"/>
        </w:rPr>
        <w:t xml:space="preserve">формально</w:t>
      </w:r>
      <w:r>
        <w:rPr>
          <w:i/>
          <w:sz w:val="16"/>
          <w:szCs w:val="16"/>
        </w:rPr>
        <w:t xml:space="preserve">; 1 – </w:t>
      </w:r>
      <w:r>
        <w:rPr>
          <w:i/>
          <w:sz w:val="16"/>
          <w:szCs w:val="16"/>
        </w:rPr>
        <w:t xml:space="preserve">слегка</w:t>
      </w:r>
      <w:r>
        <w:rPr>
          <w:i/>
          <w:sz w:val="16"/>
          <w:szCs w:val="16"/>
        </w:rPr>
        <w:t xml:space="preserve">; 0 - </w:t>
      </w:r>
      <w:r>
        <w:rPr>
          <w:i/>
          <w:sz w:val="16"/>
          <w:szCs w:val="16"/>
        </w:rPr>
        <w:t xml:space="preserve">потерянное время</w:t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720" w:right="720" w:bottom="720" w:left="720" w:header="56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9"/>
      <w:tabs>
        <w:tab w:val="clear" w:pos="4677" w:leader="none"/>
        <w:tab w:val="left" w:pos="8505" w:leader="none"/>
        <w:tab w:val="clear" w:pos="9355" w:leader="none"/>
      </w:tabs>
    </w:pPr>
    <w:r>
      <w:rPr>
        <w:b/>
        <w:sz w:val="24"/>
        <w:szCs w:val="24"/>
      </w:rPr>
      <w:t xml:space="preserve">Карта </w:t>
    </w:r>
    <w:r>
      <w:rPr>
        <w:b/>
        <w:bCs/>
        <w:sz w:val="24"/>
        <w:szCs w:val="24"/>
      </w:rPr>
      <w:t xml:space="preserve">воспитания</w:t>
    </w:r>
    <w:r>
      <w:rPr>
        <w:sz w:val="24"/>
        <w:szCs w:val="24"/>
      </w:rPr>
      <w:t xml:space="preserve"> по формированию ключевых </w:t>
    </w:r>
    <w:r>
      <w:rPr>
        <w:sz w:val="24"/>
        <w:szCs w:val="24"/>
      </w:rPr>
      <w:t xml:space="preserve">качеств и социальных умений</w:t>
    </w:r>
    <w:r>
      <w:rPr>
        <w:sz w:val="24"/>
        <w:szCs w:val="24"/>
      </w:rPr>
      <w:t xml:space="preserve">.</w:t>
    </w:r>
    <w:r>
      <w:rPr>
        <w:b/>
        <w:sz w:val="24"/>
        <w:szCs w:val="24"/>
      </w:rPr>
      <w:tab/>
    </w:r>
    <w:r>
      <w:t xml:space="preserve">Образовательная организация _</w:t>
    </w:r>
    <w:r>
      <w:t xml:space="preserve">_</w:t>
    </w:r>
    <w:r>
      <w:rPr>
        <w:b w:val="false"/>
      </w:rPr>
      <w:t xml:space="preserve">МБОУ СШ № 69</w:t>
    </w:r>
    <w:r>
      <w:rPr>
        <w:b w:val="false"/>
      </w:rPr>
      <w:t xml:space="preserve">_</w:t>
    </w:r>
    <w:r>
      <w:t xml:space="preserve">_________________</w:t>
    </w:r>
    <w:r/>
  </w:p>
  <w:p>
    <w:pPr>
      <w:pStyle w:val="499"/>
      <w:spacing w:before="120"/>
    </w:pPr>
    <w:r/>
    <w:bookmarkStart w:id="0" w:name="_Hlk54872661"/>
    <w:r>
      <w:t xml:space="preserve">Ответственное лицо </w:t>
    </w:r>
    <w:r>
      <w:t xml:space="preserve">(</w:t>
    </w:r>
    <w:r>
      <w:rPr>
        <w:sz w:val="20"/>
        <w:szCs w:val="20"/>
      </w:rPr>
      <w:t xml:space="preserve">Фамилия Имя Отчество, должность</w:t>
    </w:r>
    <w:r>
      <w:t xml:space="preserve">)</w:t>
    </w:r>
    <w:r>
      <w:t xml:space="preserve"> </w:t>
    </w:r>
    <w:r>
      <w:t xml:space="preserve">______</w:t>
    </w:r>
    <w:r>
      <w:rPr>
        <w:b w:val="false"/>
      </w:rPr>
      <w:t xml:space="preserve">Курец Анастасия Владимировна, заместитель директора</w:t>
    </w:r>
    <w:r>
      <w:t xml:space="preserve">____________________</w:t>
    </w:r>
    <w:r>
      <w:t xml:space="preserve">_____________</w:t>
    </w:r>
    <w:r>
      <w:t xml:space="preserve">____</w:t>
    </w:r>
    <w:bookmarkEnd w:id="0"/>
    <w:r/>
    <w:r/>
  </w:p>
  <w:p>
    <w:pPr>
      <w:pStyle w:val="499"/>
      <w:spacing w:after="120" w:before="120"/>
    </w:pPr>
    <w:r>
      <w:t xml:space="preserve">Решение педагогического (методического) совета № ____8_________ от ___28.10.2020г.____________________</w:t>
    </w:r>
    <w:r>
      <w:t xml:space="preserve"> о формируемых качествах</w:t>
    </w:r>
    <w:r>
      <w:t xml:space="preserve"> и социальных</w:t>
    </w:r>
    <w:r>
      <w:t xml:space="preserve"> </w:t>
    </w:r>
    <w:r>
      <w:t xml:space="preserve">умениях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nothing"/>
      <w:lvlText w:val="%2.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lowerRoman"/>
      <w:isLgl w:val="false"/>
      <w:suff w:val="nothing"/>
      <w:lvlText w:val="%1.%2.%3.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%1.%2.%3.%4.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lowerLetter"/>
      <w:isLgl w:val="false"/>
      <w:suff w:val="nothing"/>
      <w:lvlText w:val="%1.%2.%3.%4.%5.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lowerRoman"/>
      <w:isLgl w:val="false"/>
      <w:suff w:val="nothing"/>
      <w:lvlText w:val="%1.%2.%3.%4.%5.%6.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%1.%2.%3.%4.%5.%6.%7.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lowerLetter"/>
      <w:isLgl w:val="false"/>
      <w:suff w:val="nothing"/>
      <w:lvlText w:val="%1.%2.%3.%4.%5.%6.%7.%8.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lowerRoman"/>
      <w:isLgl w:val="false"/>
      <w:suff w:val="nothing"/>
      <w:lvlText w:val="%1.%2.%3.%4.%5.%6.%7.%8.%9.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94"/>
    <w:next w:val="49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94"/>
    <w:next w:val="4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94"/>
    <w:next w:val="4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94"/>
    <w:next w:val="4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94"/>
    <w:next w:val="4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94"/>
    <w:next w:val="4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94"/>
    <w:next w:val="4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94"/>
    <w:next w:val="4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94"/>
    <w:next w:val="4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94"/>
    <w:next w:val="4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95"/>
    <w:link w:val="32"/>
    <w:uiPriority w:val="10"/>
    <w:rPr>
      <w:sz w:val="48"/>
      <w:szCs w:val="48"/>
    </w:rPr>
  </w:style>
  <w:style w:type="paragraph" w:styleId="34">
    <w:name w:val="Subtitle"/>
    <w:basedOn w:val="494"/>
    <w:next w:val="4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95"/>
    <w:link w:val="34"/>
    <w:uiPriority w:val="11"/>
    <w:rPr>
      <w:sz w:val="24"/>
      <w:szCs w:val="24"/>
    </w:rPr>
  </w:style>
  <w:style w:type="paragraph" w:styleId="36">
    <w:name w:val="Quote"/>
    <w:basedOn w:val="494"/>
    <w:next w:val="4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94"/>
    <w:next w:val="49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95"/>
    <w:link w:val="499"/>
    <w:uiPriority w:val="99"/>
  </w:style>
  <w:style w:type="character" w:styleId="43">
    <w:name w:val="Footer Char"/>
    <w:basedOn w:val="495"/>
    <w:link w:val="501"/>
    <w:uiPriority w:val="99"/>
  </w:style>
  <w:style w:type="paragraph" w:styleId="44">
    <w:name w:val="Caption"/>
    <w:basedOn w:val="494"/>
    <w:next w:val="4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01"/>
    <w:uiPriority w:val="99"/>
  </w:style>
  <w:style w:type="table" w:styleId="47">
    <w:name w:val="Table Grid Light"/>
    <w:basedOn w:val="4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9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95"/>
    <w:uiPriority w:val="99"/>
    <w:unhideWhenUsed/>
    <w:rPr>
      <w:vertAlign w:val="superscript"/>
    </w:rPr>
  </w:style>
  <w:style w:type="paragraph" w:styleId="176">
    <w:name w:val="endnote text"/>
    <w:basedOn w:val="49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95"/>
    <w:uiPriority w:val="99"/>
    <w:semiHidden/>
    <w:unhideWhenUsed/>
    <w:rPr>
      <w:vertAlign w:val="superscript"/>
    </w:rPr>
  </w:style>
  <w:style w:type="paragraph" w:styleId="179">
    <w:name w:val="toc 1"/>
    <w:basedOn w:val="494"/>
    <w:next w:val="49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94"/>
    <w:next w:val="49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94"/>
    <w:next w:val="49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94"/>
    <w:next w:val="49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94"/>
    <w:next w:val="49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94"/>
    <w:next w:val="49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94"/>
    <w:next w:val="49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94"/>
    <w:next w:val="49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94"/>
    <w:next w:val="49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94" w:default="1">
    <w:name w:val="Normal"/>
    <w:qFormat/>
  </w:style>
  <w:style w:type="character" w:styleId="495" w:default="1">
    <w:name w:val="Default Paragraph Font"/>
    <w:uiPriority w:val="1"/>
    <w:semiHidden/>
    <w:unhideWhenUsed/>
  </w:style>
  <w:style w:type="table" w:styleId="4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97" w:default="1">
    <w:name w:val="No List"/>
    <w:uiPriority w:val="99"/>
    <w:semiHidden/>
    <w:unhideWhenUsed/>
  </w:style>
  <w:style w:type="table" w:styleId="498">
    <w:name w:val="Table Grid"/>
    <w:basedOn w:val="49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99">
    <w:name w:val="Header"/>
    <w:basedOn w:val="494"/>
    <w:link w:val="50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00" w:customStyle="1">
    <w:name w:val="Верхний колонтитул Знак"/>
    <w:basedOn w:val="495"/>
    <w:link w:val="499"/>
    <w:uiPriority w:val="99"/>
  </w:style>
  <w:style w:type="paragraph" w:styleId="501">
    <w:name w:val="Footer"/>
    <w:basedOn w:val="494"/>
    <w:link w:val="50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02" w:customStyle="1">
    <w:name w:val="Нижний колонтитул Знак"/>
    <w:basedOn w:val="495"/>
    <w:link w:val="501"/>
    <w:uiPriority w:val="99"/>
  </w:style>
  <w:style w:type="paragraph" w:styleId="503">
    <w:name w:val="Balloon Text"/>
    <w:basedOn w:val="494"/>
    <w:link w:val="5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04" w:customStyle="1">
    <w:name w:val="Текст выноски Знак"/>
    <w:basedOn w:val="495"/>
    <w:link w:val="503"/>
    <w:uiPriority w:val="99"/>
    <w:semiHidden/>
    <w:rPr>
      <w:rFonts w:ascii="Segoe UI" w:hAnsi="Segoe UI" w:cs="Segoe UI"/>
      <w:sz w:val="18"/>
      <w:szCs w:val="18"/>
    </w:rPr>
  </w:style>
  <w:style w:type="paragraph" w:styleId="505">
    <w:name w:val="List Paragraph"/>
    <w:basedOn w:val="494"/>
    <w:qFormat/>
    <w:uiPriority w:val="34"/>
    <w:pPr>
      <w:contextualSpacing w:val="true"/>
      <w:ind w:left="720"/>
    </w:pPr>
  </w:style>
  <w:style w:type="paragraph" w:styleId="1_2069">
    <w:name w:val="Обычный"/>
    <w:next w:val="644"/>
    <w:link w:val="64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2504">
    <w:name w:val="Абзац списка"/>
    <w:basedOn w:val="644"/>
    <w:next w:val="649"/>
    <w:link w:val="644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revision>12</cp:revision>
  <dcterms:created xsi:type="dcterms:W3CDTF">2020-10-20T04:13:00Z</dcterms:created>
  <dcterms:modified xsi:type="dcterms:W3CDTF">2021-03-19T10:46:16Z</dcterms:modified>
</cp:coreProperties>
</file>